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8C5" w:rsidRDefault="00BE769A">
      <w:pPr>
        <w:spacing w:line="360" w:lineRule="auto"/>
        <w:jc w:val="left"/>
        <w:rPr>
          <w:rFonts w:ascii="宋体" w:hAnsi="宋体"/>
          <w:b/>
          <w:sz w:val="24"/>
        </w:rPr>
      </w:pPr>
      <w:r>
        <w:rPr>
          <w:rFonts w:ascii="宋体" w:hAnsi="宋体" w:hint="eastAsia"/>
          <w:b/>
          <w:sz w:val="24"/>
        </w:rPr>
        <w:t>车辆比亚迪e5教学版（含动力电池管理系统智能实训台教学系统及配套教材）</w:t>
      </w:r>
    </w:p>
    <w:tbl>
      <w:tblPr>
        <w:tblW w:w="989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8"/>
        <w:gridCol w:w="1928"/>
        <w:gridCol w:w="4395"/>
        <w:gridCol w:w="455"/>
        <w:gridCol w:w="561"/>
        <w:gridCol w:w="846"/>
      </w:tblGrid>
      <w:tr w:rsidR="003108C5" w:rsidTr="007319E2">
        <w:tc>
          <w:tcPr>
            <w:tcW w:w="535" w:type="dxa"/>
          </w:tcPr>
          <w:p w:rsidR="003108C5" w:rsidRDefault="00BE769A">
            <w:pPr>
              <w:rPr>
                <w:rFonts w:ascii="宋体" w:hAnsi="宋体"/>
              </w:rPr>
            </w:pPr>
            <w:r>
              <w:rPr>
                <w:rFonts w:ascii="宋体" w:hAnsi="宋体" w:hint="eastAsia"/>
              </w:rPr>
              <w:t>序号</w:t>
            </w:r>
          </w:p>
        </w:tc>
        <w:tc>
          <w:tcPr>
            <w:tcW w:w="1178" w:type="dxa"/>
          </w:tcPr>
          <w:p w:rsidR="003108C5" w:rsidRDefault="00BE769A">
            <w:pPr>
              <w:rPr>
                <w:rFonts w:ascii="宋体" w:hAnsi="宋体"/>
              </w:rPr>
            </w:pPr>
            <w:r>
              <w:rPr>
                <w:rFonts w:ascii="宋体" w:hAnsi="宋体" w:hint="eastAsia"/>
              </w:rPr>
              <w:t>项目名称</w:t>
            </w:r>
          </w:p>
        </w:tc>
        <w:tc>
          <w:tcPr>
            <w:tcW w:w="1928" w:type="dxa"/>
          </w:tcPr>
          <w:p w:rsidR="003108C5" w:rsidRDefault="00BE769A">
            <w:pPr>
              <w:rPr>
                <w:rFonts w:ascii="宋体" w:hAnsi="宋体"/>
              </w:rPr>
            </w:pPr>
            <w:r>
              <w:rPr>
                <w:rFonts w:ascii="宋体" w:hAnsi="宋体" w:hint="eastAsia"/>
              </w:rPr>
              <w:t>推荐品牌</w:t>
            </w:r>
          </w:p>
        </w:tc>
        <w:tc>
          <w:tcPr>
            <w:tcW w:w="4395" w:type="dxa"/>
          </w:tcPr>
          <w:p w:rsidR="003108C5" w:rsidRDefault="00BE769A">
            <w:pPr>
              <w:rPr>
                <w:rFonts w:ascii="宋体" w:hAnsi="宋体"/>
              </w:rPr>
            </w:pPr>
            <w:r>
              <w:rPr>
                <w:rFonts w:ascii="宋体" w:hAnsi="宋体" w:hint="eastAsia"/>
              </w:rPr>
              <w:t>技术要求</w:t>
            </w:r>
          </w:p>
        </w:tc>
        <w:tc>
          <w:tcPr>
            <w:tcW w:w="455" w:type="dxa"/>
          </w:tcPr>
          <w:p w:rsidR="003108C5" w:rsidRDefault="00BE769A">
            <w:pPr>
              <w:rPr>
                <w:rFonts w:ascii="宋体" w:hAnsi="宋体"/>
              </w:rPr>
            </w:pPr>
            <w:r>
              <w:rPr>
                <w:rFonts w:ascii="宋体" w:hAnsi="宋体" w:hint="eastAsia"/>
              </w:rPr>
              <w:t>数量</w:t>
            </w:r>
          </w:p>
        </w:tc>
        <w:tc>
          <w:tcPr>
            <w:tcW w:w="561" w:type="dxa"/>
          </w:tcPr>
          <w:p w:rsidR="003108C5" w:rsidRDefault="00BE769A">
            <w:pPr>
              <w:rPr>
                <w:rFonts w:ascii="宋体" w:hAnsi="宋体"/>
              </w:rPr>
            </w:pPr>
            <w:r>
              <w:rPr>
                <w:rFonts w:ascii="宋体" w:hAnsi="宋体" w:hint="eastAsia"/>
              </w:rPr>
              <w:t>单位</w:t>
            </w:r>
          </w:p>
        </w:tc>
        <w:tc>
          <w:tcPr>
            <w:tcW w:w="846" w:type="dxa"/>
          </w:tcPr>
          <w:p w:rsidR="003108C5" w:rsidRDefault="00BE769A">
            <w:pPr>
              <w:rPr>
                <w:rFonts w:ascii="宋体" w:hAnsi="宋体"/>
              </w:rPr>
            </w:pPr>
            <w:r>
              <w:rPr>
                <w:rFonts w:ascii="宋体" w:hAnsi="宋体" w:hint="eastAsia"/>
              </w:rPr>
              <w:t>总价</w:t>
            </w:r>
          </w:p>
          <w:p w:rsidR="003108C5" w:rsidRDefault="00BE769A">
            <w:pPr>
              <w:rPr>
                <w:rFonts w:ascii="宋体" w:hAnsi="宋体"/>
              </w:rPr>
            </w:pPr>
            <w:r>
              <w:rPr>
                <w:rFonts w:ascii="宋体" w:hAnsi="宋体" w:hint="eastAsia"/>
              </w:rPr>
              <w:t>（万）</w:t>
            </w:r>
          </w:p>
        </w:tc>
      </w:tr>
      <w:tr w:rsidR="003108C5" w:rsidTr="007319E2">
        <w:trPr>
          <w:trHeight w:val="1521"/>
        </w:trPr>
        <w:tc>
          <w:tcPr>
            <w:tcW w:w="535" w:type="dxa"/>
          </w:tcPr>
          <w:p w:rsidR="003108C5" w:rsidRDefault="00BE769A">
            <w:pPr>
              <w:rPr>
                <w:rFonts w:ascii="宋体" w:hAnsi="宋体" w:cs="宋体"/>
                <w:sz w:val="24"/>
              </w:rPr>
            </w:pPr>
            <w:r>
              <w:rPr>
                <w:rFonts w:ascii="宋体" w:hAnsi="宋体" w:cs="宋体" w:hint="eastAsia"/>
                <w:sz w:val="24"/>
              </w:rPr>
              <w:t>13</w:t>
            </w:r>
          </w:p>
        </w:tc>
        <w:tc>
          <w:tcPr>
            <w:tcW w:w="1178" w:type="dxa"/>
          </w:tcPr>
          <w:p w:rsidR="003108C5" w:rsidRDefault="00BE769A">
            <w:pPr>
              <w:jc w:val="left"/>
              <w:rPr>
                <w:rFonts w:ascii="宋体" w:hAnsi="宋体" w:cs="宋体"/>
                <w:sz w:val="24"/>
              </w:rPr>
            </w:pPr>
            <w:r>
              <w:rPr>
                <w:rFonts w:ascii="宋体" w:hAnsi="宋体" w:hint="eastAsia"/>
                <w:b/>
                <w:sz w:val="24"/>
              </w:rPr>
              <w:t>车辆比亚迪e5教学版（含</w:t>
            </w:r>
            <w:r w:rsidRPr="007319E2">
              <w:rPr>
                <w:rFonts w:ascii="宋体" w:hAnsi="宋体" w:cs="宋体" w:hint="eastAsia"/>
                <w:b/>
                <w:sz w:val="24"/>
              </w:rPr>
              <w:t>行云新能</w:t>
            </w:r>
            <w:r w:rsidRPr="007319E2">
              <w:rPr>
                <w:rFonts w:ascii="宋体" w:hAnsi="宋体" w:hint="eastAsia"/>
                <w:b/>
                <w:sz w:val="24"/>
              </w:rPr>
              <w:t>动力电池管理系统</w:t>
            </w:r>
            <w:r>
              <w:rPr>
                <w:rFonts w:ascii="宋体" w:hAnsi="宋体" w:hint="eastAsia"/>
                <w:b/>
                <w:sz w:val="24"/>
              </w:rPr>
              <w:t>智能实训台教学系统及配套教材）</w:t>
            </w:r>
          </w:p>
        </w:tc>
        <w:tc>
          <w:tcPr>
            <w:tcW w:w="1928" w:type="dxa"/>
          </w:tcPr>
          <w:p w:rsidR="003108C5" w:rsidRDefault="003108C5">
            <w:pPr>
              <w:rPr>
                <w:rFonts w:ascii="宋体" w:hAnsi="宋体" w:cs="宋体"/>
                <w:sz w:val="24"/>
              </w:rPr>
            </w:pPr>
          </w:p>
        </w:tc>
        <w:tc>
          <w:tcPr>
            <w:tcW w:w="4395" w:type="dxa"/>
          </w:tcPr>
          <w:p w:rsidR="003108C5" w:rsidRDefault="004811D7">
            <w:pPr>
              <w:widowControl/>
              <w:jc w:val="left"/>
              <w:textAlignment w:val="center"/>
              <w:rPr>
                <w:rFonts w:asciiTheme="majorEastAsia" w:eastAsiaTheme="majorEastAsia" w:hAnsiTheme="majorEastAsia" w:cstheme="majorEastAsia"/>
                <w:b/>
                <w:color w:val="000000"/>
                <w:kern w:val="0"/>
                <w:sz w:val="22"/>
                <w:szCs w:val="22"/>
              </w:rPr>
            </w:pPr>
            <w:r>
              <w:rPr>
                <w:rFonts w:asciiTheme="majorEastAsia" w:eastAsiaTheme="majorEastAsia" w:hAnsiTheme="majorEastAsia" w:cstheme="majorEastAsia" w:hint="eastAsia"/>
                <w:b/>
                <w:color w:val="000000"/>
                <w:kern w:val="0"/>
                <w:sz w:val="22"/>
                <w:szCs w:val="22"/>
              </w:rPr>
              <w:t>一</w:t>
            </w:r>
            <w:r w:rsidR="00BE769A">
              <w:rPr>
                <w:rFonts w:asciiTheme="majorEastAsia" w:eastAsiaTheme="majorEastAsia" w:hAnsiTheme="majorEastAsia" w:cstheme="majorEastAsia" w:hint="eastAsia"/>
                <w:b/>
                <w:color w:val="000000"/>
                <w:kern w:val="0"/>
                <w:sz w:val="22"/>
                <w:szCs w:val="22"/>
              </w:rPr>
              <w:t>、车辆技术参数</w:t>
            </w:r>
          </w:p>
          <w:p w:rsidR="003108C5" w:rsidRDefault="00BE769A">
            <w:pPr>
              <w:widowControl/>
              <w:jc w:val="left"/>
              <w:textAlignment w:val="center"/>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1、车身参数</w:t>
            </w:r>
          </w:p>
          <w:p w:rsidR="003108C5" w:rsidRDefault="00BE769A">
            <w:pPr>
              <w:widowControl/>
              <w:jc w:val="left"/>
              <w:textAlignment w:val="center"/>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车身尺寸（长×宽×高）：4680mm× 1765mm×1500mm ；</w:t>
            </w:r>
          </w:p>
          <w:p w:rsidR="003108C5" w:rsidRDefault="00BE769A">
            <w:pPr>
              <w:widowControl/>
              <w:jc w:val="left"/>
              <w:textAlignment w:val="center"/>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轴距：2660mm 前轮距：1525mm 后轮距：1520mm；</w:t>
            </w:r>
            <w:r w:rsidR="0029419D">
              <w:rPr>
                <w:rFonts w:asciiTheme="majorEastAsia" w:eastAsiaTheme="majorEastAsia" w:hAnsiTheme="majorEastAsia" w:cstheme="majorEastAsia" w:hint="eastAsia"/>
                <w:color w:val="000000"/>
                <w:kern w:val="0"/>
                <w:sz w:val="22"/>
                <w:szCs w:val="22"/>
              </w:rPr>
              <w:t>总质量(kg):2025,整备质量(kg):1650。</w:t>
            </w:r>
          </w:p>
          <w:p w:rsidR="003108C5" w:rsidRDefault="00BE769A">
            <w:pPr>
              <w:widowControl/>
              <w:jc w:val="left"/>
              <w:textAlignment w:val="center"/>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2、电机参数</w:t>
            </w:r>
          </w:p>
          <w:p w:rsidR="003108C5" w:rsidRDefault="00BE769A">
            <w:pPr>
              <w:widowControl/>
              <w:jc w:val="left"/>
              <w:textAlignment w:val="center"/>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驱动形式：永磁同步电机；驱动电机峰值功率：100KW；驱动电机最大扭矩：180N.m；</w:t>
            </w:r>
            <w:r w:rsidR="0029419D">
              <w:rPr>
                <w:rFonts w:asciiTheme="majorEastAsia" w:eastAsiaTheme="majorEastAsia" w:hAnsiTheme="majorEastAsia" w:cstheme="majorEastAsia" w:hint="eastAsia"/>
                <w:color w:val="000000"/>
                <w:kern w:val="0"/>
                <w:sz w:val="22"/>
                <w:szCs w:val="22"/>
              </w:rPr>
              <w:t>最高车速(km/h):130,工况条件下，百公里耗电量(Y)：(kwh/100km):13.5。</w:t>
            </w:r>
          </w:p>
          <w:p w:rsidR="003108C5" w:rsidRDefault="00BE769A">
            <w:pPr>
              <w:widowControl/>
              <w:jc w:val="left"/>
              <w:textAlignment w:val="center"/>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3、电池参数</w:t>
            </w:r>
          </w:p>
          <w:p w:rsidR="003108C5" w:rsidRDefault="0029419D">
            <w:pPr>
              <w:widowControl/>
              <w:jc w:val="left"/>
              <w:textAlignment w:val="center"/>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电池系统能量密度(wh/kg):160.80</w:t>
            </w:r>
            <w:r>
              <w:rPr>
                <w:rFonts w:asciiTheme="majorEastAsia" w:eastAsiaTheme="majorEastAsia" w:hAnsiTheme="majorEastAsia" w:cstheme="majorEastAsia"/>
                <w:color w:val="000000"/>
                <w:kern w:val="0"/>
                <w:sz w:val="22"/>
                <w:szCs w:val="22"/>
              </w:rPr>
              <w:t>，</w:t>
            </w:r>
            <w:r w:rsidR="00BE769A">
              <w:rPr>
                <w:rFonts w:asciiTheme="majorEastAsia" w:eastAsiaTheme="majorEastAsia" w:hAnsiTheme="majorEastAsia" w:cstheme="majorEastAsia" w:hint="eastAsia"/>
                <w:color w:val="000000"/>
                <w:kern w:val="0"/>
                <w:sz w:val="22"/>
                <w:szCs w:val="22"/>
              </w:rPr>
              <w:t>综合工况续驶里程：405Km</w:t>
            </w:r>
          </w:p>
          <w:p w:rsidR="003108C5" w:rsidRDefault="00BE769A">
            <w:pPr>
              <w:widowControl/>
              <w:jc w:val="left"/>
              <w:textAlignment w:val="center"/>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4、安全配置 ：</w:t>
            </w:r>
          </w:p>
          <w:p w:rsidR="003108C5" w:rsidRDefault="00BE769A">
            <w:pPr>
              <w:widowControl/>
              <w:jc w:val="left"/>
              <w:textAlignment w:val="center"/>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主驾驶座安全气囊；副驾驶座安全气囊；前排预紧限力式安全带；主驾未系安全带声光报警；副驾未系安全带声光报警；ISO-FIX儿童座椅固定装置；儿童安全锁；遥控中控门锁；智能钥匙系统；动力系统防盗；高强度全方位碰撞安全车身；前碰撞安全传感器；侧碰撞安全传感器；后碰撞安全传感器。</w:t>
            </w:r>
          </w:p>
          <w:p w:rsidR="004811D7" w:rsidRPr="00C75C6C" w:rsidRDefault="004811D7" w:rsidP="004811D7">
            <w:pPr>
              <w:widowControl/>
              <w:jc w:val="left"/>
              <w:textAlignment w:val="center"/>
              <w:rPr>
                <w:rFonts w:asciiTheme="majorEastAsia" w:eastAsiaTheme="majorEastAsia" w:hAnsiTheme="majorEastAsia" w:cstheme="majorEastAsia"/>
                <w:sz w:val="22"/>
                <w:szCs w:val="22"/>
              </w:rPr>
            </w:pPr>
            <w:r w:rsidRPr="00C75C6C">
              <w:rPr>
                <w:rFonts w:asciiTheme="majorEastAsia" w:eastAsiaTheme="majorEastAsia" w:hAnsiTheme="majorEastAsia" w:cstheme="majorEastAsia" w:hint="eastAsia"/>
                <w:color w:val="000000"/>
                <w:kern w:val="0"/>
                <w:sz w:val="22"/>
                <w:szCs w:val="22"/>
              </w:rPr>
              <w:t>本项目提供的设备必须满足</w:t>
            </w:r>
            <w:r w:rsidRPr="00C75C6C">
              <w:rPr>
                <w:rFonts w:asciiTheme="majorEastAsia" w:eastAsiaTheme="majorEastAsia" w:hAnsiTheme="majorEastAsia" w:cstheme="majorEastAsia" w:hint="eastAsia"/>
                <w:sz w:val="22"/>
                <w:szCs w:val="22"/>
              </w:rPr>
              <w:t>第十一届全国交通运输行业汽车维修工（学生组）职业技能大赛技术平台要求。</w:t>
            </w:r>
          </w:p>
          <w:p w:rsidR="004811D7" w:rsidRDefault="004811D7" w:rsidP="004811D7">
            <w:pPr>
              <w:widowControl/>
              <w:jc w:val="left"/>
              <w:textAlignment w:val="center"/>
              <w:rPr>
                <w:rFonts w:ascii="宋体" w:hAnsi="宋体"/>
                <w:b/>
                <w:sz w:val="24"/>
              </w:rPr>
            </w:pPr>
            <w:r>
              <w:rPr>
                <w:rFonts w:asciiTheme="majorEastAsia" w:eastAsiaTheme="majorEastAsia" w:hAnsiTheme="majorEastAsia" w:cstheme="majorEastAsia" w:hint="eastAsia"/>
                <w:color w:val="000000"/>
                <w:kern w:val="0"/>
                <w:sz w:val="22"/>
                <w:szCs w:val="22"/>
              </w:rPr>
              <w:t>二、</w:t>
            </w:r>
            <w:r>
              <w:rPr>
                <w:rFonts w:ascii="宋体" w:hAnsi="宋体" w:cs="宋体" w:hint="eastAsia"/>
                <w:b/>
                <w:sz w:val="24"/>
              </w:rPr>
              <w:t>行云新能</w:t>
            </w:r>
            <w:r>
              <w:rPr>
                <w:rFonts w:ascii="宋体" w:hAnsi="宋体" w:hint="eastAsia"/>
                <w:b/>
                <w:sz w:val="24"/>
              </w:rPr>
              <w:t>动力电池管理系统智能实训台教学系统</w:t>
            </w:r>
          </w:p>
          <w:p w:rsidR="004811D7" w:rsidRDefault="004811D7" w:rsidP="004811D7">
            <w:pPr>
              <w:widowControl/>
              <w:jc w:val="left"/>
              <w:textAlignment w:val="center"/>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1、智能教学系统对动力电池组动态监测，并通过人机交互界面对动力电池管理系统智能实训台图形化控制，提高教师教学效率和教学效果，方便学员学习</w:t>
            </w:r>
            <w:r>
              <w:rPr>
                <w:rFonts w:asciiTheme="majorEastAsia" w:eastAsiaTheme="majorEastAsia" w:hAnsiTheme="majorEastAsia" w:cstheme="majorEastAsia" w:hint="eastAsia"/>
                <w:color w:val="000000"/>
                <w:kern w:val="0"/>
                <w:sz w:val="22"/>
                <w:szCs w:val="22"/>
              </w:rPr>
              <w:br/>
              <w:t>2、智能教学系统安装在MiniPC上，信息通过43寸高清多媒体端动态显示，智能教学系统通过通信协议与动力电池管理系统智能实训台实现信息交互。</w:t>
            </w:r>
            <w:r>
              <w:rPr>
                <w:rFonts w:asciiTheme="majorEastAsia" w:eastAsiaTheme="majorEastAsia" w:hAnsiTheme="majorEastAsia" w:cstheme="majorEastAsia" w:hint="eastAsia"/>
                <w:color w:val="000000"/>
                <w:kern w:val="0"/>
                <w:sz w:val="22"/>
                <w:szCs w:val="22"/>
              </w:rPr>
              <w:br/>
              <w:t>系统启动时，进入自检状态，分别对M1203、M1504、CAN设备、BMS通信等进行检测，并对检测结果进行判定，结果异常可重新检测，检测结果正常可启动系统。</w:t>
            </w:r>
            <w:r>
              <w:rPr>
                <w:rFonts w:asciiTheme="majorEastAsia" w:eastAsiaTheme="majorEastAsia" w:hAnsiTheme="majorEastAsia" w:cstheme="majorEastAsia" w:hint="eastAsia"/>
                <w:color w:val="000000"/>
                <w:kern w:val="0"/>
                <w:sz w:val="22"/>
                <w:szCs w:val="22"/>
              </w:rPr>
              <w:br/>
              <w:t>系统具有理论、实训、考试、原理及操作等</w:t>
            </w:r>
            <w:r>
              <w:rPr>
                <w:rFonts w:asciiTheme="majorEastAsia" w:eastAsiaTheme="majorEastAsia" w:hAnsiTheme="majorEastAsia" w:cstheme="majorEastAsia" w:hint="eastAsia"/>
                <w:color w:val="000000"/>
                <w:kern w:val="0"/>
                <w:sz w:val="22"/>
                <w:szCs w:val="22"/>
              </w:rPr>
              <w:lastRenderedPageBreak/>
              <w:t>四大主要功能。</w:t>
            </w:r>
            <w:r>
              <w:rPr>
                <w:rFonts w:asciiTheme="majorEastAsia" w:eastAsiaTheme="majorEastAsia" w:hAnsiTheme="majorEastAsia" w:cstheme="majorEastAsia" w:hint="eastAsia"/>
                <w:color w:val="000000"/>
                <w:kern w:val="0"/>
                <w:sz w:val="22"/>
                <w:szCs w:val="22"/>
              </w:rPr>
              <w:br/>
              <w:t>１、理论</w:t>
            </w:r>
            <w:r>
              <w:rPr>
                <w:rFonts w:asciiTheme="majorEastAsia" w:eastAsiaTheme="majorEastAsia" w:hAnsiTheme="majorEastAsia" w:cstheme="majorEastAsia" w:hint="eastAsia"/>
                <w:color w:val="000000"/>
                <w:kern w:val="0"/>
                <w:sz w:val="22"/>
                <w:szCs w:val="22"/>
              </w:rPr>
              <w:br/>
              <w:t>理论模式内置丰富的视频资源与文本资源，视频资源分为本地资源和在线资源；视频播放时可暂停，可全屏，可调整音量，屏幕右侧显示课程资源名称。</w:t>
            </w:r>
            <w:r>
              <w:rPr>
                <w:rFonts w:asciiTheme="majorEastAsia" w:eastAsiaTheme="majorEastAsia" w:hAnsiTheme="majorEastAsia" w:cstheme="majorEastAsia" w:hint="eastAsia"/>
                <w:color w:val="000000"/>
                <w:kern w:val="0"/>
                <w:sz w:val="22"/>
                <w:szCs w:val="22"/>
              </w:rPr>
              <w:br/>
              <w:t>（1）实训模式图形化动态显示动力电池组总电压，电池均温，单体电池电压，单体电池最高电压、单体电池最低电压、24节单体电池温度，单体电池最高温度、单体电池最低温度、电流，SOC等数据信息。电池单体信息可在两个模组之间切换。</w:t>
            </w:r>
            <w:r>
              <w:rPr>
                <w:rFonts w:asciiTheme="majorEastAsia" w:eastAsiaTheme="majorEastAsia" w:hAnsiTheme="majorEastAsia" w:cstheme="majorEastAsia" w:hint="eastAsia"/>
                <w:color w:val="000000"/>
                <w:kern w:val="0"/>
                <w:sz w:val="22"/>
                <w:szCs w:val="22"/>
              </w:rPr>
              <w:br/>
              <w:t>（2）点击放电按钮，页面弹出放电操作提示说明，告知操作者放电时需观察的核心数据流，以及放电功率调整按钮，并对放电功能进行说明。</w:t>
            </w:r>
            <w:r>
              <w:rPr>
                <w:rFonts w:asciiTheme="majorEastAsia" w:eastAsiaTheme="majorEastAsia" w:hAnsiTheme="majorEastAsia" w:cstheme="majorEastAsia" w:hint="eastAsia"/>
                <w:color w:val="000000"/>
                <w:kern w:val="0"/>
                <w:sz w:val="22"/>
                <w:szCs w:val="22"/>
              </w:rPr>
              <w:br/>
              <w:t>（3）点击充电按钮，页面提示充电操作，分为插入充电枪、刷卡使充电枪工作、观察软件数据流等步骤，并对充电不成功等状态做出说明。</w:t>
            </w:r>
            <w:r>
              <w:rPr>
                <w:rFonts w:asciiTheme="majorEastAsia" w:eastAsiaTheme="majorEastAsia" w:hAnsiTheme="majorEastAsia" w:cstheme="majorEastAsia" w:hint="eastAsia"/>
                <w:color w:val="000000"/>
                <w:kern w:val="0"/>
                <w:sz w:val="22"/>
                <w:szCs w:val="22"/>
              </w:rPr>
              <w:br/>
              <w:t>（4）点击电压检测，弹出电压检测技能视频指导，并对电压检测进行说明。</w:t>
            </w:r>
            <w:r>
              <w:rPr>
                <w:rFonts w:asciiTheme="majorEastAsia" w:eastAsiaTheme="majorEastAsia" w:hAnsiTheme="majorEastAsia" w:cstheme="majorEastAsia" w:hint="eastAsia"/>
                <w:color w:val="000000"/>
                <w:kern w:val="0"/>
                <w:sz w:val="22"/>
                <w:szCs w:val="22"/>
              </w:rPr>
              <w:br/>
              <w:t>3、考试</w:t>
            </w:r>
            <w:r>
              <w:rPr>
                <w:rFonts w:asciiTheme="majorEastAsia" w:eastAsiaTheme="majorEastAsia" w:hAnsiTheme="majorEastAsia" w:cstheme="majorEastAsia" w:hint="eastAsia"/>
                <w:color w:val="000000"/>
                <w:kern w:val="0"/>
                <w:sz w:val="22"/>
                <w:szCs w:val="22"/>
              </w:rPr>
              <w:br/>
              <w:t>系统提示教师端功能、学生端功能，教师端和学生端分别选择默认账号和密码登陆。</w:t>
            </w:r>
            <w:r>
              <w:rPr>
                <w:rFonts w:asciiTheme="majorEastAsia" w:eastAsiaTheme="majorEastAsia" w:hAnsiTheme="majorEastAsia" w:cstheme="majorEastAsia" w:hint="eastAsia"/>
                <w:color w:val="000000"/>
                <w:kern w:val="0"/>
                <w:sz w:val="22"/>
                <w:szCs w:val="22"/>
              </w:rPr>
              <w:br/>
              <w:t>（1）教师端主页具有考试设置、答题查看、读取故障码、背景资料、读取数据流、退出等功能按钮。</w:t>
            </w:r>
            <w:r>
              <w:rPr>
                <w:rFonts w:asciiTheme="majorEastAsia" w:eastAsiaTheme="majorEastAsia" w:hAnsiTheme="majorEastAsia" w:cstheme="majorEastAsia" w:hint="eastAsia"/>
                <w:color w:val="000000"/>
                <w:kern w:val="0"/>
                <w:sz w:val="22"/>
                <w:szCs w:val="22"/>
              </w:rPr>
              <w:br/>
              <w:t>①进入考试设置，系统默认考试名称、考试日期，本次考试时间等。系统按照故障名称、故障点/故障码、故障分类等进行故障考题设置。点击考题设置勾选框，进行故障考题设置，系统自动添加故障数量，同时提供全部选择、全部清除等快捷功能，点击系统重置故障，系统自动刷新故障考题，并对故障考题顺序进行重新排列。</w:t>
            </w:r>
            <w:r>
              <w:rPr>
                <w:rFonts w:asciiTheme="majorEastAsia" w:eastAsiaTheme="majorEastAsia" w:hAnsiTheme="majorEastAsia" w:cstheme="majorEastAsia" w:hint="eastAsia"/>
                <w:color w:val="000000"/>
                <w:kern w:val="0"/>
                <w:sz w:val="22"/>
                <w:szCs w:val="22"/>
              </w:rPr>
              <w:br/>
              <w:t>具体可设置：单体电池过充、较严重过压、一般过压、一般欠压、较严重欠压、严重欠压、过放、一般过温、较严重过温、严重过温等，线路类充电CAN、整车CAN、K1+、K1-、K2+、K3+、K3-、BMS电源、BIC电源等。</w:t>
            </w:r>
            <w:r>
              <w:rPr>
                <w:rFonts w:asciiTheme="majorEastAsia" w:eastAsiaTheme="majorEastAsia" w:hAnsiTheme="majorEastAsia" w:cstheme="majorEastAsia" w:hint="eastAsia"/>
                <w:color w:val="000000"/>
                <w:kern w:val="0"/>
                <w:sz w:val="22"/>
                <w:szCs w:val="22"/>
              </w:rPr>
              <w:br/>
              <w:t>故障考题勾选完成后，点击考题故障发布，完成故障设置。</w:t>
            </w:r>
            <w:r>
              <w:rPr>
                <w:rFonts w:asciiTheme="majorEastAsia" w:eastAsiaTheme="majorEastAsia" w:hAnsiTheme="majorEastAsia" w:cstheme="majorEastAsia" w:hint="eastAsia"/>
                <w:color w:val="000000"/>
                <w:kern w:val="0"/>
                <w:sz w:val="22"/>
                <w:szCs w:val="22"/>
              </w:rPr>
              <w:br/>
              <w:t>故障设置完成后，系统支持多轮学生重复考</w:t>
            </w:r>
            <w:r>
              <w:rPr>
                <w:rFonts w:asciiTheme="majorEastAsia" w:eastAsiaTheme="majorEastAsia" w:hAnsiTheme="majorEastAsia" w:cstheme="majorEastAsia" w:hint="eastAsia"/>
                <w:color w:val="000000"/>
                <w:kern w:val="0"/>
                <w:sz w:val="22"/>
                <w:szCs w:val="22"/>
              </w:rPr>
              <w:lastRenderedPageBreak/>
              <w:t>试，不需要教师重复设置考题。</w:t>
            </w:r>
            <w:r>
              <w:rPr>
                <w:rFonts w:asciiTheme="majorEastAsia" w:eastAsiaTheme="majorEastAsia" w:hAnsiTheme="majorEastAsia" w:cstheme="majorEastAsia" w:hint="eastAsia"/>
                <w:color w:val="000000"/>
                <w:kern w:val="0"/>
                <w:sz w:val="22"/>
                <w:szCs w:val="22"/>
              </w:rPr>
              <w:br/>
              <w:t>借助导航功能，可快速返回主页。</w:t>
            </w:r>
            <w:r>
              <w:rPr>
                <w:rFonts w:asciiTheme="majorEastAsia" w:eastAsiaTheme="majorEastAsia" w:hAnsiTheme="majorEastAsia" w:cstheme="majorEastAsia" w:hint="eastAsia"/>
                <w:color w:val="000000"/>
                <w:kern w:val="0"/>
                <w:sz w:val="22"/>
                <w:szCs w:val="22"/>
              </w:rPr>
              <w:br/>
              <w:t>②学生点击答题后，教师可进入教师端，进行当前故障考题信息查看。</w:t>
            </w:r>
            <w:r>
              <w:rPr>
                <w:rFonts w:asciiTheme="majorEastAsia" w:eastAsiaTheme="majorEastAsia" w:hAnsiTheme="majorEastAsia" w:cstheme="majorEastAsia" w:hint="eastAsia"/>
                <w:color w:val="000000"/>
                <w:kern w:val="0"/>
                <w:sz w:val="22"/>
                <w:szCs w:val="22"/>
              </w:rPr>
              <w:br/>
              <w:t>③点击读数据流，显示当前设备设备数据流，数据流显示当前24节动力电池电压、温度等信息，以及动力电池总电压、剩余电量、电池均温、电流、预充接触器状态、主接触器状态、充电接触器状态等。</w:t>
            </w:r>
            <w:r>
              <w:rPr>
                <w:rFonts w:asciiTheme="majorEastAsia" w:eastAsiaTheme="majorEastAsia" w:hAnsiTheme="majorEastAsia" w:cstheme="majorEastAsia" w:hint="eastAsia"/>
                <w:color w:val="000000"/>
                <w:kern w:val="0"/>
                <w:sz w:val="22"/>
                <w:szCs w:val="22"/>
              </w:rPr>
              <w:br/>
              <w:t>④点击读故障码，显示当前设备故障代码或故障原因。</w:t>
            </w:r>
            <w:r>
              <w:rPr>
                <w:rFonts w:asciiTheme="majorEastAsia" w:eastAsiaTheme="majorEastAsia" w:hAnsiTheme="majorEastAsia" w:cstheme="majorEastAsia" w:hint="eastAsia"/>
                <w:color w:val="000000"/>
                <w:kern w:val="0"/>
                <w:sz w:val="22"/>
                <w:szCs w:val="22"/>
              </w:rPr>
              <w:br/>
              <w:t>⑤点击背景资料，查看当前相关资料信息。</w:t>
            </w:r>
            <w:r>
              <w:rPr>
                <w:rFonts w:asciiTheme="majorEastAsia" w:eastAsiaTheme="majorEastAsia" w:hAnsiTheme="majorEastAsia" w:cstheme="majorEastAsia" w:hint="eastAsia"/>
                <w:color w:val="000000"/>
                <w:kern w:val="0"/>
                <w:sz w:val="22"/>
                <w:szCs w:val="22"/>
              </w:rPr>
              <w:br/>
              <w:t>⑥学生答题完成提交后，点击答题查看功能，系统显示学员答对题数、答错题数，点击查看详情，系统页面显示答题具体信息，分别为：答题用时，精确到秒，显示正确答案，以及学生答题的答案，以及是否正确，正确显示对号，错误显示叉号。</w:t>
            </w:r>
            <w:r>
              <w:rPr>
                <w:rFonts w:asciiTheme="majorEastAsia" w:eastAsiaTheme="majorEastAsia" w:hAnsiTheme="majorEastAsia" w:cstheme="majorEastAsia" w:hint="eastAsia"/>
                <w:color w:val="000000"/>
                <w:kern w:val="0"/>
                <w:sz w:val="22"/>
                <w:szCs w:val="22"/>
              </w:rPr>
              <w:br/>
              <w:t>⑦教师端具有学生管理功能，可对学员信息进行编辑与删除，可对其账户、名称、密码等进行编辑。</w:t>
            </w:r>
            <w:r>
              <w:rPr>
                <w:rFonts w:asciiTheme="majorEastAsia" w:eastAsiaTheme="majorEastAsia" w:hAnsiTheme="majorEastAsia" w:cstheme="majorEastAsia" w:hint="eastAsia"/>
                <w:color w:val="000000"/>
                <w:kern w:val="0"/>
                <w:sz w:val="22"/>
                <w:szCs w:val="22"/>
              </w:rPr>
              <w:br/>
              <w:t>⑧教师端可对我的账号进行修改，可修改账户、名称、密码等。</w:t>
            </w:r>
            <w:r>
              <w:rPr>
                <w:rFonts w:asciiTheme="majorEastAsia" w:eastAsiaTheme="majorEastAsia" w:hAnsiTheme="majorEastAsia" w:cstheme="majorEastAsia" w:hint="eastAsia"/>
                <w:color w:val="000000"/>
                <w:kern w:val="0"/>
                <w:sz w:val="22"/>
                <w:szCs w:val="22"/>
              </w:rPr>
              <w:br/>
              <w:t>（2）学生端主页具有：答题、背景资料、读取数据流、读取故障码、成绩查询、退出等功能按钮。</w:t>
            </w:r>
            <w:r>
              <w:rPr>
                <w:rFonts w:asciiTheme="majorEastAsia" w:eastAsiaTheme="majorEastAsia" w:hAnsiTheme="majorEastAsia" w:cstheme="majorEastAsia" w:hint="eastAsia"/>
                <w:color w:val="000000"/>
                <w:kern w:val="0"/>
                <w:sz w:val="22"/>
                <w:szCs w:val="22"/>
              </w:rPr>
              <w:br/>
              <w:t>①学生点击答题按钮，进入故障排除环节，答题页面显示当前题目序号，以及考题总数量。</w:t>
            </w:r>
            <w:r>
              <w:rPr>
                <w:rFonts w:asciiTheme="majorEastAsia" w:eastAsiaTheme="majorEastAsia" w:hAnsiTheme="majorEastAsia" w:cstheme="majorEastAsia" w:hint="eastAsia"/>
                <w:color w:val="000000"/>
                <w:kern w:val="0"/>
                <w:sz w:val="22"/>
                <w:szCs w:val="22"/>
              </w:rPr>
              <w:br/>
              <w:t>②答题过程中学生可读取当前设备数据流，数据流显示当前24节动力电池电压、温度等信息，以及动力电池总电压、剩余电量、电池均温、电流、预充继电器状态、总正继电器状态、慢充继电器状态等。</w:t>
            </w:r>
            <w:r>
              <w:rPr>
                <w:rFonts w:asciiTheme="majorEastAsia" w:eastAsiaTheme="majorEastAsia" w:hAnsiTheme="majorEastAsia" w:cstheme="majorEastAsia" w:hint="eastAsia"/>
                <w:color w:val="000000"/>
                <w:kern w:val="0"/>
                <w:sz w:val="22"/>
                <w:szCs w:val="22"/>
              </w:rPr>
              <w:br/>
              <w:t>③答题过程中学生可读取当前设备故障码，缩小故障排除范围。故障分为有码故障和无码故障。</w:t>
            </w:r>
            <w:r>
              <w:rPr>
                <w:rFonts w:asciiTheme="majorEastAsia" w:eastAsiaTheme="majorEastAsia" w:hAnsiTheme="majorEastAsia" w:cstheme="majorEastAsia" w:hint="eastAsia"/>
                <w:color w:val="000000"/>
                <w:kern w:val="0"/>
                <w:sz w:val="22"/>
                <w:szCs w:val="22"/>
              </w:rPr>
              <w:br/>
              <w:t>④答题过程中学生可查看背景资料，为故障排除提供信息参考。</w:t>
            </w:r>
            <w:r>
              <w:rPr>
                <w:rFonts w:asciiTheme="majorEastAsia" w:eastAsiaTheme="majorEastAsia" w:hAnsiTheme="majorEastAsia" w:cstheme="majorEastAsia" w:hint="eastAsia"/>
                <w:color w:val="000000"/>
                <w:kern w:val="0"/>
                <w:sz w:val="22"/>
                <w:szCs w:val="22"/>
              </w:rPr>
              <w:br/>
              <w:t>⑤学生通过检测，判断出当前故障点，在系统答题页面上完成考题答案选择，点击下一题，系统进入下一题。答题过程如上。</w:t>
            </w:r>
            <w:r>
              <w:rPr>
                <w:rFonts w:asciiTheme="majorEastAsia" w:eastAsiaTheme="majorEastAsia" w:hAnsiTheme="majorEastAsia" w:cstheme="majorEastAsia" w:hint="eastAsia"/>
                <w:color w:val="000000"/>
                <w:kern w:val="0"/>
                <w:sz w:val="22"/>
                <w:szCs w:val="22"/>
              </w:rPr>
              <w:br/>
              <w:t>⑥答题完成后系统弹出“答题完毕，点击确定后退出考试”提示框，点击确定，系统返</w:t>
            </w:r>
            <w:r>
              <w:rPr>
                <w:rFonts w:asciiTheme="majorEastAsia" w:eastAsiaTheme="majorEastAsia" w:hAnsiTheme="majorEastAsia" w:cstheme="majorEastAsia" w:hint="eastAsia"/>
                <w:color w:val="000000"/>
                <w:kern w:val="0"/>
                <w:sz w:val="22"/>
                <w:szCs w:val="22"/>
              </w:rPr>
              <w:lastRenderedPageBreak/>
              <w:t>回考试模式主界面。</w:t>
            </w:r>
            <w:r>
              <w:rPr>
                <w:rFonts w:asciiTheme="majorEastAsia" w:eastAsiaTheme="majorEastAsia" w:hAnsiTheme="majorEastAsia" w:cstheme="majorEastAsia" w:hint="eastAsia"/>
                <w:color w:val="000000"/>
                <w:kern w:val="0"/>
                <w:sz w:val="22"/>
                <w:szCs w:val="22"/>
              </w:rPr>
              <w:br/>
              <w:t>⑦答题过程中，学生可切换到实训界面，进行充电或放电功能验证。</w:t>
            </w:r>
            <w:r>
              <w:rPr>
                <w:rFonts w:asciiTheme="majorEastAsia" w:eastAsiaTheme="majorEastAsia" w:hAnsiTheme="majorEastAsia" w:cstheme="majorEastAsia" w:hint="eastAsia"/>
                <w:color w:val="000000"/>
                <w:kern w:val="0"/>
                <w:sz w:val="22"/>
                <w:szCs w:val="22"/>
              </w:rPr>
              <w:br/>
              <w:t>⑧答题完毕，学生可进入系统进行答题结果查看，系统显示答对题数，答错题数，并可查看答题详情，显示答题用时，故障，答案、是否正确等。</w:t>
            </w:r>
            <w:r>
              <w:rPr>
                <w:rFonts w:asciiTheme="majorEastAsia" w:eastAsiaTheme="majorEastAsia" w:hAnsiTheme="majorEastAsia" w:cstheme="majorEastAsia" w:hint="eastAsia"/>
                <w:color w:val="000000"/>
                <w:kern w:val="0"/>
                <w:sz w:val="22"/>
                <w:szCs w:val="22"/>
              </w:rPr>
              <w:br/>
              <w:t>3、原理及操作</w:t>
            </w:r>
            <w:r>
              <w:rPr>
                <w:rFonts w:asciiTheme="majorEastAsia" w:eastAsiaTheme="majorEastAsia" w:hAnsiTheme="majorEastAsia" w:cstheme="majorEastAsia" w:hint="eastAsia"/>
                <w:color w:val="000000"/>
                <w:kern w:val="0"/>
                <w:sz w:val="22"/>
                <w:szCs w:val="22"/>
              </w:rPr>
              <w:br/>
              <w:t>功能分为原理和操作，原理类显示BMS台架组成、电池认知、工作面板认知、充电接口认知、加减速停止按钮认知、power灯认知等，对各认知进行图形化说明。</w:t>
            </w:r>
            <w:r>
              <w:rPr>
                <w:rFonts w:asciiTheme="majorEastAsia" w:eastAsiaTheme="majorEastAsia" w:hAnsiTheme="majorEastAsia" w:cstheme="majorEastAsia" w:hint="eastAsia"/>
                <w:color w:val="000000"/>
                <w:kern w:val="0"/>
                <w:sz w:val="22"/>
                <w:szCs w:val="22"/>
              </w:rPr>
              <w:br/>
              <w:t>操作类包括操作前准备、检查操作、放电操作、充电操作、教师设置故障操作、按钮操作、充电过程等。点击任一操作，均进行视频演示操作，所有视频均需配音。</w:t>
            </w:r>
          </w:p>
          <w:p w:rsidR="004811D7" w:rsidRDefault="004811D7" w:rsidP="004811D7">
            <w:pPr>
              <w:widowControl/>
              <w:jc w:val="left"/>
              <w:textAlignment w:val="center"/>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4、系统内置原车预冲上电控制过程逻辑flash动画，动画包含点火开关、BMS电池管理器、分压接触器、正极接触器、负极接触器、主接触器、预冲电阻、薄膜电容、VTOG、仪表等，清晰展示OK灯点亮，高压上电控制逻辑。</w:t>
            </w:r>
          </w:p>
          <w:p w:rsidR="004811D7" w:rsidRPr="004811D7" w:rsidRDefault="004811D7" w:rsidP="004811D7">
            <w:pPr>
              <w:widowControl/>
              <w:jc w:val="left"/>
              <w:textAlignment w:val="center"/>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5、系统内置电机旋转变压器测量、高压互锁检测、高压下电标准流程等实车检测操作视频。</w:t>
            </w:r>
          </w:p>
          <w:p w:rsidR="0029419D" w:rsidRPr="00C75C6C" w:rsidRDefault="0029419D">
            <w:pPr>
              <w:widowControl/>
              <w:jc w:val="left"/>
              <w:rPr>
                <w:rFonts w:asciiTheme="majorEastAsia" w:eastAsiaTheme="majorEastAsia" w:hAnsiTheme="majorEastAsia" w:cstheme="majorEastAsia"/>
                <w:spacing w:val="8"/>
                <w:sz w:val="22"/>
                <w:szCs w:val="22"/>
              </w:rPr>
            </w:pPr>
            <w:r w:rsidRPr="00C75C6C">
              <w:rPr>
                <w:rFonts w:asciiTheme="majorEastAsia" w:eastAsiaTheme="majorEastAsia" w:hAnsiTheme="majorEastAsia" w:cstheme="majorEastAsia" w:hint="eastAsia"/>
                <w:spacing w:val="8"/>
                <w:sz w:val="22"/>
                <w:szCs w:val="22"/>
              </w:rPr>
              <w:t>①鉴订合同前，利用自带的设备演示智能教学系统和内置的各项资源，各项参数必须与参数相符。</w:t>
            </w:r>
          </w:p>
          <w:p w:rsidR="0029419D" w:rsidRPr="00C75C6C" w:rsidRDefault="0029419D">
            <w:pPr>
              <w:widowControl/>
              <w:jc w:val="left"/>
              <w:rPr>
                <w:rFonts w:asciiTheme="majorEastAsia" w:eastAsiaTheme="majorEastAsia" w:hAnsiTheme="majorEastAsia" w:cstheme="majorEastAsia"/>
                <w:spacing w:val="8"/>
                <w:sz w:val="22"/>
                <w:szCs w:val="22"/>
              </w:rPr>
            </w:pPr>
            <w:r w:rsidRPr="00C75C6C">
              <w:rPr>
                <w:rFonts w:asciiTheme="majorEastAsia" w:eastAsiaTheme="majorEastAsia" w:hAnsiTheme="majorEastAsia" w:cstheme="majorEastAsia" w:hint="eastAsia"/>
                <w:spacing w:val="8"/>
                <w:sz w:val="22"/>
                <w:szCs w:val="22"/>
              </w:rPr>
              <w:t>②投标文件中提供中华人民共和国国家版权局签发的动力电池及管理系统训练台智能教学系统计算机软件著作权登记证书复印件。</w:t>
            </w:r>
          </w:p>
          <w:p w:rsidR="007319E2" w:rsidRPr="00C75C6C" w:rsidRDefault="0029419D">
            <w:pPr>
              <w:widowControl/>
              <w:jc w:val="left"/>
              <w:rPr>
                <w:rFonts w:asciiTheme="majorEastAsia" w:eastAsiaTheme="majorEastAsia" w:hAnsiTheme="majorEastAsia" w:cstheme="majorEastAsia"/>
                <w:spacing w:val="8"/>
                <w:sz w:val="22"/>
                <w:szCs w:val="22"/>
              </w:rPr>
            </w:pPr>
            <w:r w:rsidRPr="00C75C6C">
              <w:rPr>
                <w:rFonts w:asciiTheme="majorEastAsia" w:eastAsiaTheme="majorEastAsia" w:hAnsiTheme="majorEastAsia" w:cstheme="majorEastAsia" w:hint="eastAsia"/>
                <w:spacing w:val="8"/>
                <w:sz w:val="22"/>
                <w:szCs w:val="22"/>
              </w:rPr>
              <w:t>③设备通过GB4943.1-2011《信息技术设备的安全》检测认证，确保产品使用安全稳定(投标文件提供检测报告复印件)。</w:t>
            </w:r>
          </w:p>
          <w:p w:rsidR="0029419D" w:rsidRDefault="0029419D">
            <w:pPr>
              <w:widowControl/>
              <w:jc w:val="left"/>
              <w:rPr>
                <w:rFonts w:asciiTheme="majorEastAsia" w:eastAsiaTheme="majorEastAsia" w:hAnsiTheme="majorEastAsia" w:cstheme="majorEastAsia"/>
                <w:b/>
                <w:spacing w:val="8"/>
                <w:sz w:val="22"/>
                <w:szCs w:val="22"/>
              </w:rPr>
            </w:pPr>
            <w:r w:rsidRPr="00C75C6C">
              <w:rPr>
                <w:rFonts w:asciiTheme="majorEastAsia" w:eastAsiaTheme="majorEastAsia" w:hAnsiTheme="majorEastAsia" w:cstheme="majorEastAsia" w:hint="eastAsia"/>
                <w:spacing w:val="8"/>
                <w:sz w:val="22"/>
                <w:szCs w:val="22"/>
              </w:rPr>
              <w:t>④所投设备需满足第十一届全国交通运输行业汽车维修工(学生组)职业技能大赛技术平台要求，提供相关证明材料。</w:t>
            </w:r>
            <w:r w:rsidRPr="0029419D">
              <w:rPr>
                <w:rFonts w:asciiTheme="majorEastAsia" w:eastAsiaTheme="majorEastAsia" w:hAnsiTheme="majorEastAsia" w:cstheme="majorEastAsia" w:hint="eastAsia"/>
                <w:b/>
                <w:spacing w:val="8"/>
                <w:sz w:val="22"/>
                <w:szCs w:val="22"/>
              </w:rPr>
              <w:t xml:space="preserve">　　</w:t>
            </w:r>
          </w:p>
          <w:p w:rsidR="0029419D" w:rsidRDefault="004811D7">
            <w:pPr>
              <w:widowControl/>
              <w:jc w:val="left"/>
              <w:rPr>
                <w:rFonts w:asciiTheme="majorEastAsia" w:eastAsiaTheme="majorEastAsia" w:hAnsiTheme="majorEastAsia" w:cstheme="majorEastAsia"/>
                <w:b/>
                <w:spacing w:val="8"/>
                <w:sz w:val="22"/>
                <w:szCs w:val="22"/>
              </w:rPr>
            </w:pPr>
            <w:r>
              <w:rPr>
                <w:rFonts w:asciiTheme="majorEastAsia" w:eastAsiaTheme="majorEastAsia" w:hAnsiTheme="majorEastAsia" w:cstheme="majorEastAsia" w:hint="eastAsia"/>
                <w:b/>
                <w:spacing w:val="8"/>
                <w:sz w:val="22"/>
                <w:szCs w:val="22"/>
              </w:rPr>
              <w:t>三</w:t>
            </w:r>
            <w:r w:rsidR="00BE769A">
              <w:rPr>
                <w:rFonts w:asciiTheme="majorEastAsia" w:eastAsiaTheme="majorEastAsia" w:hAnsiTheme="majorEastAsia" w:cstheme="majorEastAsia" w:hint="eastAsia"/>
                <w:b/>
                <w:spacing w:val="8"/>
                <w:sz w:val="22"/>
                <w:szCs w:val="22"/>
              </w:rPr>
              <w:t>、配套纸质版学生教材</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为保证设备的充分利用，设备配套纸质版学生教材《新能源汽车概论》、《新能源汽车电学基础与高压安全》、《新能源动力电池及管理系统检修》、《新能源汽车电机及控制系统检修》、《新能源汽车电气技术》、</w:t>
            </w:r>
            <w:r>
              <w:rPr>
                <w:rFonts w:asciiTheme="majorEastAsia" w:eastAsiaTheme="majorEastAsia" w:hAnsiTheme="majorEastAsia" w:cstheme="majorEastAsia" w:hint="eastAsia"/>
                <w:spacing w:val="8"/>
                <w:sz w:val="22"/>
                <w:szCs w:val="22"/>
              </w:rPr>
              <w:lastRenderedPageBreak/>
              <w:t>《新能源汽车维护与故障诊断》等6门课程各一本，每门课程至少包含以下内容：</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1、《新能源汽车概论》</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项目1：国内外新能源汽车现状与发展趋势；</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任务1：新能源汽车的类型与技术特征；</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任务2：发展新能源汽车的必要性；</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任务3：新能源汽车发展现状及趋势；</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项目2：新能源汽车的类型与电池概述；</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任务1：新能源汽车的类型与主流车型；</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任务2：新能源汽车电池的类型与应用车型；</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项目3：混合动力汽车的技术特点和驱动方式</w:t>
            </w:r>
            <w:r>
              <w:rPr>
                <w:rFonts w:asciiTheme="majorEastAsia" w:eastAsiaTheme="majorEastAsia" w:hAnsiTheme="majorEastAsia" w:cstheme="majorEastAsia" w:hint="eastAsia"/>
                <w:spacing w:val="8"/>
                <w:sz w:val="22"/>
                <w:szCs w:val="22"/>
              </w:rPr>
              <w:tab/>
              <w:t>；</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任务1：混合动力汽车的技术特点；</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任务2：混合动力汽车的驱动方式；</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任务3：混合动力汽车结构认知；</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项目4：纯电动汽车的技术特点和驱动方式；</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任务1：纯电动汽车的技术特点；</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任务2：纯电动汽车的驱动方式；</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任务3：纯电动汽车结构认知；</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项目5：新能源汽车功能操作；</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任务1：新能源汽车的安全使用规范和组合仪表操作；</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任务2：新能源汽车控制器的操作；</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任务3：新能源汽车的使用和驾驶操作；</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任务4：新能源汽车舒适娱乐系统的操作；</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任务5：新能源汽车车内装置的使用和车辆规格的识别。</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该教材中每个学习任务中涵盖了若干个学习内同，如：任务一：新能源汽车的类型与技术特征涵盖：任务引入、任务要求、相关知识等小章节。</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通过本课程学习，能够熟悉当前国内外新能源汽车发展状况、新能源汽车类型及技术特征，以及我国对新能源汽车发展的相关政策法规，同时了解国内外新能源汽车的发展趋势。</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2、《新能源汽车电学基础与高压安全》</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项目1：电学基础知识</w:t>
            </w:r>
            <w:r>
              <w:rPr>
                <w:rFonts w:asciiTheme="majorEastAsia" w:eastAsiaTheme="majorEastAsia" w:hAnsiTheme="majorEastAsia" w:cstheme="majorEastAsia" w:hint="eastAsia"/>
                <w:spacing w:val="8"/>
                <w:sz w:val="22"/>
                <w:szCs w:val="22"/>
              </w:rPr>
              <w:tab/>
              <w:t>；</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任务1：常用电学参数概念；</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任务2: 电路基础元件的识别；</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项目2：汽车电工常用工具的使用；</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lastRenderedPageBreak/>
              <w:t>任务1：数字万用表的种类和使用方法；</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任务2：电学参数的测量；</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任务3：常用绝缘工具的识别和使用；</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项目3：常用电子电器元件特性</w:t>
            </w:r>
            <w:r>
              <w:rPr>
                <w:rFonts w:asciiTheme="majorEastAsia" w:eastAsiaTheme="majorEastAsia" w:hAnsiTheme="majorEastAsia" w:cstheme="majorEastAsia" w:hint="eastAsia"/>
                <w:spacing w:val="8"/>
                <w:sz w:val="22"/>
                <w:szCs w:val="22"/>
              </w:rPr>
              <w:tab/>
              <w:t>；</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任务1：常用电子电器元件特性；</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任务2：常用电子电器元件测量；</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项目4：高压电基础知识；</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任务1：高电压等级与安全电压；</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任务2：高压故障电流带来的危害；</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任务3：新能源汽车高压区域识别；</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项目5：高压安全与防护；</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任务1：避免高压伤害的防护措施；</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任务2：维修车间安全防护与急救措施；</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任务3：新能源车辆高压作业检测设备及工具的使用；</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项目6：高压安全法规要求</w:t>
            </w:r>
            <w:r>
              <w:rPr>
                <w:rFonts w:asciiTheme="majorEastAsia" w:eastAsiaTheme="majorEastAsia" w:hAnsiTheme="majorEastAsia" w:cstheme="majorEastAsia" w:hint="eastAsia"/>
                <w:spacing w:val="8"/>
                <w:sz w:val="22"/>
                <w:szCs w:val="22"/>
              </w:rPr>
              <w:tab/>
              <w:t>；</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任务1：国家高压法规要求；</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任务2：售后维修人员资质要求；</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任务3：高压中止（切断回路）标准操作流程</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该套教材中每个学习任务中涵盖了若干个学习内同，如：任务一：常用电学参数概念涵盖：任务引入、任务要求、相关知识等小章节。</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通过本课程学习，能够掌握电压、电流、电阻、欧姆定律和电路类型基本概念；能够识别电路基础原件并掌握其功能和电路符号。</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3、《新能源动力电池及管理系统检修》</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项目1：动力电池组拆装与检测</w:t>
            </w:r>
            <w:r>
              <w:rPr>
                <w:rFonts w:asciiTheme="majorEastAsia" w:eastAsiaTheme="majorEastAsia" w:hAnsiTheme="majorEastAsia" w:cstheme="majorEastAsia" w:hint="eastAsia"/>
                <w:color w:val="000000"/>
                <w:kern w:val="0"/>
                <w:sz w:val="22"/>
                <w:szCs w:val="22"/>
              </w:rPr>
              <w:tab/>
              <w:t>；</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任务1：动力电池组的基础知识；</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任务2：动力电池组的拆卸；</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任务3：动力电池组的外观检查与安装；</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项目2：不同类型动力电池组的技术分析；</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任务1：镍氢电池的技术分析；</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任务2：锂电池的技术分析；</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任务3：燃料电池的技术分析；</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任务4：超级电容电池的技术分析；</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项目3：动力电池管理系统的检修；</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任务1：电池管理系统的工作原理与检测；</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任务2：动力电池组热管理系统的技术分析；</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项目4：废旧电池的处理；</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任务1：旧电池的梯次利用；</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任务2：废电池的回收处理</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该套教材中每个学习任务中涵盖了若干个</w:t>
            </w:r>
            <w:r>
              <w:rPr>
                <w:rFonts w:asciiTheme="majorEastAsia" w:eastAsiaTheme="majorEastAsia" w:hAnsiTheme="majorEastAsia" w:cstheme="majorEastAsia" w:hint="eastAsia"/>
                <w:color w:val="000000"/>
                <w:kern w:val="0"/>
                <w:sz w:val="22"/>
                <w:szCs w:val="22"/>
              </w:rPr>
              <w:lastRenderedPageBreak/>
              <w:t>学习内同，如：任务一：动力电池组的基础知识涵盖：任务引入、任务要求、相关知识等小章节。</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通过本课程学习，能够熟悉电池组基础知识和功能，合力完成动力电池组的拆卸工作，会进行动力电池组的外观检查和性能检测。</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4、《新能源汽车电机及控制系统检修》</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项目1：高压电驱动系统；</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任务1：高压电驱动系统的组成与识别；</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任务2：高压互锁与绝缘检测；</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项目2：驱动电机的结构与检修；</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任务1：驱动电机的基本知识；</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任务2：永磁同步驱动电机的结构与检测；</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任务3：三相异步电机的结构与故障分析；</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项目3：电机控制器的结构与检修；</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任务1：电机控制器的基本知识与外部特征；</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任务2：电机控制器的内部结构与检测；</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项目4：电驱动能量传递和热管理系统；</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任务1：电驱动系统能量传递系统；</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任务2：电驱动热管理系统</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该套教材中每个学习任务中涵盖了若干个学习内同，如：任务一：高压电驱动系统的组成与识别涵盖：任务引入、任务要求、相关知识等小章节。</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color w:val="000000"/>
                <w:kern w:val="0"/>
                <w:sz w:val="22"/>
                <w:szCs w:val="22"/>
              </w:rPr>
              <w:t>通过本课程学习，能够掌握高压组件的结构和功能；掌握高压互锁回路和绝缘监控回路；能够识别高压电路连接器接口定义；会进行高压线束的绝缘检测与更换，会高压回路的检测。</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5、《新能源汽车电气技术》</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项目1：新能源汽车电路识图；</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任务1：电路图的基本组成和元件识别；</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任务2：比亚迪和丰田电路图的识读方法；</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项目2：整车控制网络系统；</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任务1：整车控制系统的功能和网关的测量；</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任务2：车载网络框架结构和总线测量；</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任务3：新能源汽车的智能网联系统；</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项目3：电动助力转向系统；</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任务1：电动助力转向系统的功能与组件更换；</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任务2：电动助力转向系统的信号测量；</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项目4：暖风和空调系统；</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任务1：新能源汽车暖风和空调系统的功能与组件更换；</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lastRenderedPageBreak/>
              <w:t>任务2：新能源汽车暖风和空调系统的信号测量；</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项目5：新能源汽车充电技术；</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任务1：充电的类型和操作使用；</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任务2：充电组件的技术要求与检修</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该套教材中每个学习任务中涵盖了若干个学习内同，如：</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任务一：电路图的基本组成和元件识别涵盖：任务引入、任务要求、相关知识等小章节。</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通过本课程学习，能够掌握新能源汽车电路识图的方法；能独立完成熔丝、继电器位置、配电盒插头及线束的查找。</w:t>
            </w:r>
          </w:p>
          <w:p w:rsidR="003108C5" w:rsidRDefault="00BE769A">
            <w:pPr>
              <w:jc w:val="left"/>
              <w:rPr>
                <w:rFonts w:asciiTheme="majorEastAsia" w:eastAsiaTheme="majorEastAsia" w:hAnsiTheme="majorEastAsia" w:cstheme="majorEastAsia"/>
                <w:spacing w:val="8"/>
                <w:sz w:val="22"/>
                <w:szCs w:val="22"/>
              </w:rPr>
            </w:pPr>
            <w:r>
              <w:rPr>
                <w:rFonts w:asciiTheme="majorEastAsia" w:eastAsiaTheme="majorEastAsia" w:hAnsiTheme="majorEastAsia" w:cstheme="majorEastAsia" w:hint="eastAsia"/>
                <w:spacing w:val="8"/>
                <w:sz w:val="22"/>
                <w:szCs w:val="22"/>
              </w:rPr>
              <w:t>6、《新能源汽车维护与故障诊断》</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项目1：新能源汽车的日常维护；</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任务1：新能源汽车维护的必要性与车主自行保养项目；</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任务2：新能源汽车店内日常维护项目；</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项目2：新能源汽车的定期保养；</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任务1：混合动力汽车的保养周期与内容；</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任务2：纯电动汽车的保养周期与内容；</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项目3：新能源汽车的故障诊断；</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任务1：新能源诊断设备的操作使用与故障诊断流程；</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任务2：高压驱动组件的故障排查；</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任务3：新能源汽车整车故障排查；</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任务4：充电系统的故障排查；</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任务5：动力电池系统的故障排查。</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该套教材中每个学习任务中涵盖了若干个学习内同，如：任务一：新能源汽车维护的必要性与车主自行保养项目涵盖：任务引入、任务要求、相关知识等小章节。</w:t>
            </w:r>
          </w:p>
          <w:p w:rsidR="003108C5" w:rsidRDefault="00BE769A">
            <w:pPr>
              <w:jc w:val="left"/>
              <w:rPr>
                <w:rFonts w:asciiTheme="majorEastAsia" w:eastAsiaTheme="majorEastAsia" w:hAnsiTheme="majorEastAsia" w:cstheme="majorEastAsia"/>
                <w:color w:val="000000"/>
                <w:kern w:val="0"/>
                <w:sz w:val="22"/>
                <w:szCs w:val="22"/>
              </w:rPr>
            </w:pPr>
            <w:r>
              <w:rPr>
                <w:rFonts w:asciiTheme="majorEastAsia" w:eastAsiaTheme="majorEastAsia" w:hAnsiTheme="majorEastAsia" w:cstheme="majorEastAsia" w:hint="eastAsia"/>
                <w:color w:val="000000"/>
                <w:kern w:val="0"/>
                <w:sz w:val="22"/>
                <w:szCs w:val="22"/>
              </w:rPr>
              <w:t>通过本课程学习，能够掌握新能源汽车日常维护的特点，独立完成系能源汽车的日常维护项目。</w:t>
            </w:r>
          </w:p>
          <w:p w:rsidR="003108C5" w:rsidRPr="0029419D" w:rsidRDefault="0029419D" w:rsidP="0029419D">
            <w:pPr>
              <w:jc w:val="left"/>
              <w:rPr>
                <w:rFonts w:asciiTheme="majorEastAsia" w:eastAsiaTheme="majorEastAsia" w:hAnsiTheme="majorEastAsia" w:cstheme="majorEastAsia"/>
                <w:b/>
                <w:color w:val="000000"/>
                <w:kern w:val="0"/>
                <w:sz w:val="24"/>
              </w:rPr>
            </w:pPr>
            <w:r w:rsidRPr="0029419D">
              <w:rPr>
                <w:rFonts w:asciiTheme="majorEastAsia" w:eastAsiaTheme="majorEastAsia" w:hAnsiTheme="majorEastAsia" w:cstheme="majorEastAsia" w:hint="eastAsia"/>
                <w:b/>
                <w:color w:val="000000"/>
                <w:kern w:val="0"/>
                <w:sz w:val="24"/>
              </w:rPr>
              <w:t>投标时提供自主知识产权教材一套，内容需涵盖以上参数要求。</w:t>
            </w:r>
          </w:p>
        </w:tc>
        <w:tc>
          <w:tcPr>
            <w:tcW w:w="455" w:type="dxa"/>
          </w:tcPr>
          <w:p w:rsidR="003108C5" w:rsidRDefault="00BE769A">
            <w:pPr>
              <w:rPr>
                <w:rFonts w:ascii="宋体" w:hAnsi="宋体" w:cs="宋体"/>
                <w:sz w:val="24"/>
              </w:rPr>
            </w:pPr>
            <w:r>
              <w:rPr>
                <w:rFonts w:ascii="宋体" w:hAnsi="宋体" w:cs="宋体" w:hint="eastAsia"/>
                <w:sz w:val="24"/>
              </w:rPr>
              <w:lastRenderedPageBreak/>
              <w:t>1</w:t>
            </w:r>
          </w:p>
        </w:tc>
        <w:tc>
          <w:tcPr>
            <w:tcW w:w="561" w:type="dxa"/>
          </w:tcPr>
          <w:p w:rsidR="003108C5" w:rsidRDefault="00BE769A">
            <w:pPr>
              <w:rPr>
                <w:rFonts w:ascii="宋体" w:hAnsi="宋体" w:cs="宋体"/>
                <w:sz w:val="24"/>
              </w:rPr>
            </w:pPr>
            <w:r>
              <w:rPr>
                <w:rFonts w:ascii="宋体" w:hAnsi="宋体" w:cs="宋体" w:hint="eastAsia"/>
                <w:sz w:val="24"/>
              </w:rPr>
              <w:t>套</w:t>
            </w:r>
          </w:p>
        </w:tc>
        <w:tc>
          <w:tcPr>
            <w:tcW w:w="846" w:type="dxa"/>
          </w:tcPr>
          <w:p w:rsidR="003108C5" w:rsidRDefault="003108C5">
            <w:pPr>
              <w:rPr>
                <w:rFonts w:ascii="宋体" w:hAnsi="宋体" w:cs="宋体"/>
                <w:sz w:val="24"/>
              </w:rPr>
            </w:pPr>
            <w:bookmarkStart w:id="0" w:name="_GoBack"/>
            <w:bookmarkEnd w:id="0"/>
          </w:p>
        </w:tc>
      </w:tr>
      <w:tr w:rsidR="003108C5" w:rsidTr="007319E2">
        <w:trPr>
          <w:trHeight w:val="302"/>
        </w:trPr>
        <w:tc>
          <w:tcPr>
            <w:tcW w:w="9898" w:type="dxa"/>
            <w:gridSpan w:val="7"/>
            <w:tcBorders>
              <w:top w:val="single" w:sz="4" w:space="0" w:color="auto"/>
              <w:left w:val="single" w:sz="4" w:space="0" w:color="auto"/>
              <w:bottom w:val="single" w:sz="4" w:space="0" w:color="auto"/>
              <w:right w:val="single" w:sz="4" w:space="0" w:color="auto"/>
            </w:tcBorders>
            <w:vAlign w:val="center"/>
          </w:tcPr>
          <w:p w:rsidR="003108C5" w:rsidRDefault="003108C5">
            <w:pPr>
              <w:widowControl/>
              <w:ind w:firstLineChars="200" w:firstLine="420"/>
              <w:jc w:val="left"/>
              <w:rPr>
                <w:rFonts w:ascii="宋体" w:hAnsi="宋体" w:cs="宋体"/>
                <w:kern w:val="0"/>
                <w:szCs w:val="21"/>
              </w:rPr>
            </w:pPr>
          </w:p>
        </w:tc>
      </w:tr>
      <w:tr w:rsidR="003108C5" w:rsidTr="007319E2">
        <w:trPr>
          <w:trHeight w:val="614"/>
        </w:trPr>
        <w:tc>
          <w:tcPr>
            <w:tcW w:w="9898" w:type="dxa"/>
            <w:gridSpan w:val="7"/>
            <w:tcBorders>
              <w:top w:val="single" w:sz="4" w:space="0" w:color="auto"/>
              <w:left w:val="single" w:sz="4" w:space="0" w:color="auto"/>
              <w:bottom w:val="single" w:sz="4" w:space="0" w:color="auto"/>
              <w:right w:val="single" w:sz="4" w:space="0" w:color="auto"/>
            </w:tcBorders>
            <w:vAlign w:val="center"/>
          </w:tcPr>
          <w:p w:rsidR="003108C5" w:rsidRPr="0029419D" w:rsidRDefault="0029419D">
            <w:pPr>
              <w:widowControl/>
              <w:jc w:val="left"/>
              <w:textAlignment w:val="center"/>
              <w:rPr>
                <w:rFonts w:asciiTheme="majorEastAsia" w:eastAsiaTheme="majorEastAsia" w:hAnsiTheme="majorEastAsia" w:cstheme="majorEastAsia"/>
                <w:b/>
                <w:kern w:val="0"/>
                <w:sz w:val="22"/>
                <w:szCs w:val="22"/>
              </w:rPr>
            </w:pPr>
            <w:r w:rsidRPr="0029419D">
              <w:rPr>
                <w:rFonts w:ascii="宋体" w:hAnsi="宋体" w:cs="宋体" w:hint="eastAsia"/>
                <w:b/>
                <w:kern w:val="0"/>
                <w:szCs w:val="21"/>
              </w:rPr>
              <w:t>备</w:t>
            </w:r>
            <w:r w:rsidR="00BE769A" w:rsidRPr="0029419D">
              <w:rPr>
                <w:rFonts w:ascii="宋体" w:hAnsi="宋体" w:cs="宋体" w:hint="eastAsia"/>
                <w:b/>
                <w:kern w:val="0"/>
                <w:szCs w:val="21"/>
              </w:rPr>
              <w:t>注</w:t>
            </w:r>
            <w:r w:rsidR="00BE769A" w:rsidRPr="0029419D">
              <w:rPr>
                <w:rFonts w:asciiTheme="majorEastAsia" w:eastAsiaTheme="majorEastAsia" w:hAnsiTheme="majorEastAsia" w:cstheme="majorEastAsia" w:hint="eastAsia"/>
                <w:b/>
                <w:kern w:val="0"/>
                <w:sz w:val="22"/>
                <w:szCs w:val="22"/>
              </w:rPr>
              <w:t>：</w:t>
            </w:r>
          </w:p>
          <w:p w:rsidR="003108C5" w:rsidRPr="0029419D" w:rsidRDefault="0029419D" w:rsidP="0029419D">
            <w:pPr>
              <w:pStyle w:val="a6"/>
              <w:numPr>
                <w:ilvl w:val="0"/>
                <w:numId w:val="1"/>
              </w:numPr>
              <w:ind w:firstLineChars="0"/>
              <w:rPr>
                <w:rFonts w:asciiTheme="majorEastAsia" w:eastAsiaTheme="majorEastAsia" w:hAnsiTheme="majorEastAsia" w:cstheme="majorEastAsia"/>
                <w:b/>
                <w:color w:val="000000"/>
                <w:kern w:val="0"/>
                <w:sz w:val="22"/>
                <w:szCs w:val="22"/>
              </w:rPr>
            </w:pPr>
            <w:r w:rsidRPr="0029419D">
              <w:rPr>
                <w:rFonts w:asciiTheme="majorEastAsia" w:eastAsiaTheme="majorEastAsia" w:hAnsiTheme="majorEastAsia" w:cstheme="majorEastAsia" w:hint="eastAsia"/>
                <w:b/>
                <w:color w:val="000000"/>
                <w:kern w:val="0"/>
                <w:sz w:val="22"/>
                <w:szCs w:val="22"/>
              </w:rPr>
              <w:t>必须提供原厂合格产品，能够获得原厂的售后服务，非厂家投标，供应商必须提供原生产厂家授权销售委托书(复印件)</w:t>
            </w:r>
          </w:p>
          <w:p w:rsidR="003108C5" w:rsidRPr="009375D8" w:rsidRDefault="00BE769A" w:rsidP="009375D8">
            <w:pPr>
              <w:widowControl/>
              <w:jc w:val="left"/>
              <w:textAlignment w:val="center"/>
              <w:rPr>
                <w:rFonts w:asciiTheme="majorEastAsia" w:eastAsiaTheme="majorEastAsia" w:hAnsiTheme="majorEastAsia" w:cstheme="majorEastAsia"/>
                <w:b/>
                <w:color w:val="000000"/>
                <w:kern w:val="0"/>
                <w:sz w:val="22"/>
                <w:szCs w:val="22"/>
              </w:rPr>
            </w:pPr>
            <w:r w:rsidRPr="0029419D">
              <w:rPr>
                <w:rFonts w:asciiTheme="majorEastAsia" w:eastAsiaTheme="majorEastAsia" w:hAnsiTheme="majorEastAsia" w:cstheme="majorEastAsia" w:hint="eastAsia"/>
                <w:b/>
                <w:color w:val="000000"/>
                <w:kern w:val="0"/>
                <w:sz w:val="22"/>
                <w:szCs w:val="22"/>
              </w:rPr>
              <w:t>2.</w:t>
            </w:r>
            <w:r w:rsidR="0029419D" w:rsidRPr="0029419D">
              <w:rPr>
                <w:rFonts w:asciiTheme="majorEastAsia" w:eastAsiaTheme="majorEastAsia" w:hAnsiTheme="majorEastAsia" w:cstheme="majorEastAsia" w:hint="eastAsia"/>
                <w:b/>
                <w:color w:val="000000"/>
                <w:kern w:val="0"/>
                <w:sz w:val="22"/>
                <w:szCs w:val="22"/>
              </w:rPr>
              <w:t>该项目所提供设备必须与</w:t>
            </w:r>
            <w:r w:rsidR="009375D8">
              <w:rPr>
                <w:rFonts w:asciiTheme="majorEastAsia" w:eastAsiaTheme="majorEastAsia" w:hAnsiTheme="majorEastAsia" w:cstheme="majorEastAsia" w:hint="eastAsia"/>
                <w:b/>
                <w:color w:val="000000"/>
                <w:kern w:val="0"/>
                <w:sz w:val="22"/>
                <w:szCs w:val="22"/>
              </w:rPr>
              <w:t>学院现有设备</w:t>
            </w:r>
            <w:r w:rsidR="0029419D" w:rsidRPr="0029419D">
              <w:rPr>
                <w:rFonts w:asciiTheme="majorEastAsia" w:eastAsiaTheme="majorEastAsia" w:hAnsiTheme="majorEastAsia" w:cstheme="majorEastAsia" w:hint="eastAsia"/>
                <w:b/>
                <w:color w:val="000000"/>
                <w:kern w:val="0"/>
                <w:sz w:val="22"/>
                <w:szCs w:val="22"/>
              </w:rPr>
              <w:t>无缝衔接使用。</w:t>
            </w:r>
          </w:p>
          <w:p w:rsidR="003108C5" w:rsidRDefault="009375D8" w:rsidP="0029419D">
            <w:pPr>
              <w:widowControl/>
              <w:ind w:leftChars="4" w:left="417" w:hangingChars="185" w:hanging="409"/>
              <w:jc w:val="left"/>
              <w:rPr>
                <w:rFonts w:asciiTheme="majorEastAsia" w:eastAsiaTheme="majorEastAsia" w:hAnsiTheme="majorEastAsia" w:cstheme="majorEastAsia" w:hint="eastAsia"/>
                <w:b/>
                <w:sz w:val="22"/>
                <w:szCs w:val="22"/>
              </w:rPr>
            </w:pPr>
            <w:r>
              <w:rPr>
                <w:rFonts w:asciiTheme="majorEastAsia" w:eastAsiaTheme="majorEastAsia" w:hAnsiTheme="majorEastAsia" w:cstheme="majorEastAsia" w:hint="eastAsia"/>
                <w:b/>
                <w:sz w:val="22"/>
                <w:szCs w:val="22"/>
              </w:rPr>
              <w:t>3</w:t>
            </w:r>
            <w:r w:rsidR="0029419D" w:rsidRPr="0029419D">
              <w:rPr>
                <w:rFonts w:asciiTheme="majorEastAsia" w:eastAsiaTheme="majorEastAsia" w:hAnsiTheme="majorEastAsia" w:cstheme="majorEastAsia" w:hint="eastAsia"/>
                <w:b/>
                <w:sz w:val="22"/>
                <w:szCs w:val="22"/>
              </w:rPr>
              <w:t>、交货期：签订合同后十五天到货。</w:t>
            </w:r>
          </w:p>
          <w:p w:rsidR="009375D8" w:rsidRDefault="009375D8" w:rsidP="009375D8">
            <w:pPr>
              <w:widowControl/>
              <w:ind w:leftChars="4" w:left="417" w:hangingChars="185" w:hanging="409"/>
              <w:jc w:val="left"/>
              <w:rPr>
                <w:rFonts w:ascii="宋体" w:hAnsi="宋体" w:cs="宋体"/>
                <w:kern w:val="0"/>
                <w:szCs w:val="21"/>
              </w:rPr>
            </w:pPr>
            <w:r>
              <w:rPr>
                <w:rFonts w:asciiTheme="majorEastAsia" w:eastAsiaTheme="majorEastAsia" w:hAnsiTheme="majorEastAsia" w:cstheme="majorEastAsia" w:hint="eastAsia"/>
                <w:b/>
                <w:sz w:val="22"/>
                <w:szCs w:val="22"/>
              </w:rPr>
              <w:t>4、质保年限：</w:t>
            </w:r>
            <w:r w:rsidR="00AA73F8">
              <w:rPr>
                <w:rFonts w:asciiTheme="majorEastAsia" w:eastAsiaTheme="majorEastAsia" w:hAnsiTheme="majorEastAsia" w:cstheme="majorEastAsia" w:hint="eastAsia"/>
                <w:b/>
                <w:sz w:val="22"/>
                <w:szCs w:val="22"/>
              </w:rPr>
              <w:t>1年</w:t>
            </w:r>
          </w:p>
        </w:tc>
      </w:tr>
    </w:tbl>
    <w:p w:rsidR="003108C5" w:rsidRDefault="003108C5" w:rsidP="00C75C6C"/>
    <w:sectPr w:rsidR="003108C5" w:rsidSect="003108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4AE" w:rsidRDefault="007714AE" w:rsidP="009375D8">
      <w:r>
        <w:separator/>
      </w:r>
    </w:p>
  </w:endnote>
  <w:endnote w:type="continuationSeparator" w:id="1">
    <w:p w:rsidR="007714AE" w:rsidRDefault="007714AE" w:rsidP="00937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4AE" w:rsidRDefault="007714AE" w:rsidP="009375D8">
      <w:r>
        <w:separator/>
      </w:r>
    </w:p>
  </w:footnote>
  <w:footnote w:type="continuationSeparator" w:id="1">
    <w:p w:rsidR="007714AE" w:rsidRDefault="007714AE" w:rsidP="00937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138E2"/>
    <w:multiLevelType w:val="hybridMultilevel"/>
    <w:tmpl w:val="C22804D2"/>
    <w:lvl w:ilvl="0" w:tplc="8E0E1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6078"/>
    <w:rsid w:val="0013009C"/>
    <w:rsid w:val="0029419D"/>
    <w:rsid w:val="003108C5"/>
    <w:rsid w:val="004811D7"/>
    <w:rsid w:val="007319E2"/>
    <w:rsid w:val="007614B1"/>
    <w:rsid w:val="007714AE"/>
    <w:rsid w:val="008E036E"/>
    <w:rsid w:val="009375D8"/>
    <w:rsid w:val="00AA73F8"/>
    <w:rsid w:val="00AC6078"/>
    <w:rsid w:val="00BE769A"/>
    <w:rsid w:val="00C75C6C"/>
    <w:rsid w:val="00F47925"/>
    <w:rsid w:val="00F60901"/>
    <w:rsid w:val="00F75C13"/>
    <w:rsid w:val="00FC0A84"/>
    <w:rsid w:val="081542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C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108C5"/>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108C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3108C5"/>
    <w:pPr>
      <w:spacing w:beforeAutospacing="1" w:afterAutospacing="1"/>
      <w:jc w:val="left"/>
    </w:pPr>
    <w:rPr>
      <w:rFonts w:ascii="Calibri" w:hAnsi="Calibri"/>
      <w:kern w:val="0"/>
      <w:sz w:val="24"/>
    </w:rPr>
  </w:style>
  <w:style w:type="character" w:customStyle="1" w:styleId="Char0">
    <w:name w:val="页眉 Char"/>
    <w:basedOn w:val="a0"/>
    <w:link w:val="a4"/>
    <w:uiPriority w:val="99"/>
    <w:semiHidden/>
    <w:rsid w:val="003108C5"/>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3108C5"/>
    <w:rPr>
      <w:rFonts w:ascii="Times New Roman" w:eastAsia="宋体" w:hAnsi="Times New Roman" w:cs="Times New Roman"/>
      <w:sz w:val="18"/>
      <w:szCs w:val="18"/>
    </w:rPr>
  </w:style>
  <w:style w:type="paragraph" w:styleId="a6">
    <w:name w:val="List Paragraph"/>
    <w:basedOn w:val="a"/>
    <w:uiPriority w:val="99"/>
    <w:unhideWhenUsed/>
    <w:rsid w:val="0029419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868</Words>
  <Characters>4951</Characters>
  <Application>Microsoft Office Word</Application>
  <DocSecurity>0</DocSecurity>
  <Lines>41</Lines>
  <Paragraphs>11</Paragraphs>
  <ScaleCrop>false</ScaleCrop>
  <Company>Microsoft</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2019-12-04T01:53:00Z</dcterms:created>
  <dcterms:modified xsi:type="dcterms:W3CDTF">2019-12-04T01:58:00Z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